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53B13C9D" w14:textId="463FCB13" w:rsidR="00EA58B7" w:rsidRDefault="00E06B35" w:rsidP="00EA58B7">
      <w:pPr>
        <w:spacing w:after="0" w:line="240" w:lineRule="auto"/>
        <w:jc w:val="center"/>
        <w:rPr>
          <w:rFonts w:ascii="Arial Rounded MT Bold" w:hAnsi="Arial Rounded MT Bold"/>
          <w:b/>
          <w:sz w:val="32"/>
          <w:szCs w:val="32"/>
        </w:rPr>
      </w:pPr>
      <w:r>
        <w:rPr>
          <w:rFonts w:ascii="Arial Rounded MT Bold" w:hAnsi="Arial Rounded MT Bold"/>
          <w:b/>
          <w:sz w:val="32"/>
          <w:szCs w:val="32"/>
        </w:rPr>
        <w:t xml:space="preserve">Tool: </w:t>
      </w:r>
      <w:r w:rsidR="00A46844" w:rsidRPr="00A46844">
        <w:rPr>
          <w:rFonts w:ascii="Arial Rounded MT Bold" w:hAnsi="Arial Rounded MT Bold"/>
          <w:b/>
          <w:sz w:val="32"/>
          <w:szCs w:val="32"/>
        </w:rPr>
        <w:t>Gesunder Arbeitsplatz - Schlüsselbereich der Einflussnahme</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5C45179E" w:rsidR="00D748E2" w:rsidRPr="00A96CDA" w:rsidRDefault="008D6A77" w:rsidP="00D748E2">
            <w:pPr>
              <w:rPr>
                <w:rFonts w:ascii="Arial Rounded MT Bold" w:hAnsi="Arial Rounded MT Bold"/>
                <w:b/>
                <w:lang w:val="de-DE"/>
              </w:rPr>
            </w:pPr>
            <w:r>
              <w:rPr>
                <w:rFonts w:ascii="Arial Rounded MT Bold" w:hAnsi="Arial Rounded MT Bold" w:cs="Arial"/>
                <w:lang w:val="de-DE"/>
              </w:rPr>
              <w:t>Guide, Broschüre</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25491AD8" w14:textId="24AA298C" w:rsidR="008D6A77" w:rsidRDefault="00A46844" w:rsidP="008D6A77">
            <w:pPr>
              <w:pStyle w:val="Listenabsatz"/>
              <w:numPr>
                <w:ilvl w:val="0"/>
                <w:numId w:val="10"/>
              </w:numPr>
              <w:spacing w:after="120"/>
              <w:rPr>
                <w:rFonts w:ascii="Arial Rounded MT Bold" w:hAnsi="Arial Rounded MT Bold" w:cs="Arial"/>
                <w:bCs/>
                <w:lang w:val="de-DE"/>
              </w:rPr>
            </w:pPr>
            <w:r>
              <w:rPr>
                <w:rFonts w:ascii="Arial Rounded MT Bold" w:hAnsi="Arial Rounded MT Bold"/>
                <w:bCs/>
                <w:lang w:val="de-DE"/>
              </w:rPr>
              <w:t>Angestellte</w:t>
            </w:r>
          </w:p>
          <w:p w14:paraId="46AE32C7" w14:textId="28646A2A" w:rsidR="00D748E2" w:rsidRPr="008D6A77" w:rsidRDefault="00A46844"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 Geschäftsführer</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179E1A2F" w:rsidR="00D748E2" w:rsidRPr="00A96CDA" w:rsidRDefault="00A46844" w:rsidP="00B75A5B">
            <w:pPr>
              <w:rPr>
                <w:rFonts w:ascii="Arial Rounded MT Bold" w:hAnsi="Arial Rounded MT Bold"/>
                <w:b/>
                <w:lang w:val="de-DE"/>
              </w:rPr>
            </w:pPr>
            <w:r>
              <w:rPr>
                <w:rFonts w:ascii="Arial Rounded MT Bold" w:hAnsi="Arial Rounded MT Bold"/>
                <w:lang w:val="de-DE"/>
              </w:rPr>
              <w:t>20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176ABBEC" w14:textId="2A17B1CA" w:rsidR="00D748E2" w:rsidRPr="00A96CDA" w:rsidRDefault="00A46844" w:rsidP="008D6A77">
            <w:pPr>
              <w:rPr>
                <w:rFonts w:ascii="Arial Rounded MT Bold" w:hAnsi="Arial Rounded MT Bold"/>
                <w:b/>
                <w:lang w:val="de-DE"/>
              </w:rPr>
            </w:pPr>
            <w:r w:rsidRPr="00A46844">
              <w:rPr>
                <w:rFonts w:ascii="Arial Rounded MT Bold" w:eastAsia="Calibri" w:hAnsi="Arial Rounded MT Bold" w:cs="Times New Roman"/>
                <w:lang w:val="de-DE"/>
              </w:rPr>
              <w:t>Das Tool soll die verschiedenen Schlüsselbereiche aufzeigen, die bei Initiativen für gesunde Arbeitsplätze mobilisiert oder beeinflusst werden können. Arbeitgeber oder Arbeitnehmer können aus den angebotenen Schlüsselbereichen auswählen, welchen sie mehr Aufmerksamkeit schenken möchten, um die Verbesserung oder Schaffung eines gesunden Arbeitsplatzes zu beeinflussen, und wie sie die Schlüsselbereiche effektiv entwickeln können.</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6A92BC50" w14:textId="77777777" w:rsidR="00A46844" w:rsidRPr="00A46844" w:rsidRDefault="00A46844" w:rsidP="00A46844">
            <w:pPr>
              <w:rPr>
                <w:rFonts w:ascii="Arial Rounded MT Bold" w:hAnsi="Arial Rounded MT Bold"/>
                <w:lang w:val="de-DE"/>
              </w:rPr>
            </w:pPr>
            <w:r w:rsidRPr="00A46844">
              <w:rPr>
                <w:rFonts w:ascii="Arial Rounded MT Bold" w:hAnsi="Arial Rounded MT Bold"/>
                <w:lang w:val="de-DE"/>
              </w:rPr>
              <w:t>Das Instrument ermöglicht es Ihnen, einen gesunden Arbeitsplatz zu schaffen, indem Sie die durch die wichtigsten Einflussbereiche vorgegebene Methode "Lernleitfaden" auswählen und umsetzen.</w:t>
            </w:r>
          </w:p>
          <w:p w14:paraId="1A4F35A3" w14:textId="77777777" w:rsidR="00A46844" w:rsidRPr="00A46844" w:rsidRDefault="00A46844" w:rsidP="00A46844">
            <w:pPr>
              <w:rPr>
                <w:rFonts w:ascii="Arial Rounded MT Bold" w:hAnsi="Arial Rounded MT Bold"/>
                <w:lang w:val="de-DE"/>
              </w:rPr>
            </w:pPr>
            <w:r w:rsidRPr="00A46844">
              <w:rPr>
                <w:rFonts w:ascii="Arial Rounded MT Bold" w:hAnsi="Arial Rounded MT Bold"/>
                <w:lang w:val="de-DE"/>
              </w:rPr>
              <w:t>Dieses konstruierte Werkzeug kann hilfreich sein und kann auch an jenen Arbeitsplätzen und Unternehmen angewendet werden, an denen es Aufzeichnungen über arbeitsbedingte Verletzungen oder Krankheiten gibt oder der Arbeitsplatz ein besonderes Gewicht hat, das die oben genannten Aufzeichnungen trägt, insbesondere an Orten, an denen es wenig Wissen über die Bedeutung der Erhaltung oder Schaffung eines gesunden Arbeitsplatzes gibt.</w:t>
            </w:r>
          </w:p>
          <w:p w14:paraId="7D3BED42" w14:textId="6BC96942" w:rsidR="00D748E2" w:rsidRPr="00A96CDA" w:rsidRDefault="00A46844" w:rsidP="00A46844">
            <w:pPr>
              <w:rPr>
                <w:rFonts w:ascii="Arial Rounded MT Bold" w:hAnsi="Arial Rounded MT Bold"/>
                <w:lang w:val="de-DE"/>
              </w:rPr>
            </w:pPr>
            <w:r w:rsidRPr="00A46844">
              <w:rPr>
                <w:rFonts w:ascii="Arial Rounded MT Bold" w:hAnsi="Arial Rounded MT Bold"/>
                <w:lang w:val="de-DE"/>
              </w:rPr>
              <w:t>Zu den Zielen gehören: die Beschaffung von Informationen, die Erzielung von Ergebnissen, die Verringerung der Zeit, die für die Entwicklung eines Schlüsselbereichs benötigt wird (Identifizierung und Lösung des Problems) und die Förderung der Beteiligung der Nutzer an der Verbesserung und Schaffung eines gesunden Arbeitsplatzes.</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3AA886B3" w:rsidR="00D748E2" w:rsidRPr="00A96CDA" w:rsidRDefault="00A46844" w:rsidP="00D748E2">
            <w:pPr>
              <w:rPr>
                <w:rFonts w:ascii="Arial Rounded MT Bold" w:hAnsi="Arial Rounded MT Bold"/>
                <w:lang w:val="de-DE"/>
              </w:rPr>
            </w:pPr>
            <w:r w:rsidRPr="00A46844">
              <w:rPr>
                <w:rFonts w:ascii="Arial Rounded MT Bold" w:hAnsi="Arial Rounded MT Bold"/>
                <w:lang w:val="de-DE"/>
              </w:rPr>
              <w:t xml:space="preserve">Die Dauer hängt von der jeweiligen Person ab, aber </w:t>
            </w:r>
            <w:r>
              <w:rPr>
                <w:rFonts w:ascii="Arial Rounded MT Bold" w:hAnsi="Arial Rounded MT Bold"/>
                <w:lang w:val="de-DE"/>
              </w:rPr>
              <w:t>die Bearbeitung des</w:t>
            </w:r>
            <w:r w:rsidRPr="00A46844">
              <w:rPr>
                <w:rFonts w:ascii="Arial Rounded MT Bold" w:hAnsi="Arial Rounded MT Bold"/>
                <w:lang w:val="de-DE"/>
              </w:rPr>
              <w:t xml:space="preserve"> Tool</w:t>
            </w:r>
            <w:r>
              <w:rPr>
                <w:rFonts w:ascii="Arial Rounded MT Bold" w:hAnsi="Arial Rounded MT Bold"/>
                <w:lang w:val="de-DE"/>
              </w:rPr>
              <w:t>s</w:t>
            </w:r>
            <w:r w:rsidRPr="00A46844">
              <w:rPr>
                <w:rFonts w:ascii="Arial Rounded MT Bold" w:hAnsi="Arial Rounded MT Bold"/>
                <w:lang w:val="de-DE"/>
              </w:rPr>
              <w:t xml:space="preserve"> dauert ungefähr 20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6044BE12" w14:textId="77777777" w:rsidR="00A46844" w:rsidRDefault="00A46844" w:rsidP="00A46844">
            <w:pPr>
              <w:spacing w:after="120"/>
              <w:rPr>
                <w:rFonts w:ascii="Arial Rounded MT Bold" w:eastAsia="Calibri" w:hAnsi="Arial Rounded MT Bold" w:cs="Times New Roman"/>
                <w:lang w:val="de-DE"/>
              </w:rPr>
            </w:pPr>
            <w:r w:rsidRPr="00A46844">
              <w:rPr>
                <w:rFonts w:ascii="Arial Rounded MT Bold" w:eastAsia="Calibri" w:hAnsi="Arial Rounded MT Bold" w:cs="Times New Roman"/>
                <w:lang w:val="de-DE"/>
              </w:rPr>
              <w:t>Um das Tool optimal zu nutzen, empfehlen wir Ihnen, es sorgfältig zu lesen, dann die wichtigste Prioritätsstufe zu wählen und sich während des Lesens Notizen zu jeder Methode zu machen.</w:t>
            </w:r>
          </w:p>
          <w:p w14:paraId="04777D5F" w14:textId="5B6F84C1" w:rsidR="00D748E2" w:rsidRPr="00A46844" w:rsidRDefault="00A46844" w:rsidP="00A46844">
            <w:pPr>
              <w:spacing w:after="120"/>
              <w:rPr>
                <w:rFonts w:ascii="Arial Rounded MT Bold" w:eastAsia="Calibri" w:hAnsi="Arial Rounded MT Bold" w:cs="Times New Roman"/>
                <w:lang w:val="de-DE"/>
              </w:rPr>
            </w:pPr>
            <w:r w:rsidRPr="00A46844">
              <w:rPr>
                <w:rFonts w:ascii="Arial Rounded MT Bold" w:eastAsia="Calibri" w:hAnsi="Arial Rounded MT Bold" w:cs="Times New Roman"/>
                <w:lang w:val="de-DE"/>
              </w:rPr>
              <w:t>Dann werden Sie das Problem erkennen, eine Umsetzungsmethode wählen und wissen, wie Sie den Prozess weiter bewerten können.</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A46844">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FFC000"/>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A56C8D">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A56C8D">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A46844">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00B0F0"/>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11AE7356" w:rsidR="00D748E2" w:rsidRPr="00A96CDA" w:rsidRDefault="00A46844" w:rsidP="00D748E2">
            <w:pPr>
              <w:rPr>
                <w:rFonts w:ascii="Arial Rounded MT Bold" w:hAnsi="Arial Rounded MT Bold"/>
                <w:color w:val="000000"/>
                <w:lang w:val="de-DE"/>
              </w:rPr>
            </w:pPr>
            <w:hyperlink r:id="rId7" w:history="1">
              <w:r w:rsidRPr="00A46844">
                <w:rPr>
                  <w:rStyle w:val="Hyperlink"/>
                  <w:rFonts w:ascii="Arial Rounded MT Bold" w:hAnsi="Arial Rounded MT Bold" w:cs="Arial"/>
                  <w:iCs/>
                  <w:lang w:val="de-DE"/>
                </w:rPr>
                <w:t>https://www.who.int/occupational_health/publications/healthy_workplaces_model_action.pdf</w:t>
              </w:r>
            </w:hyperlink>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41917"/>
    <w:rsid w:val="0004484A"/>
    <w:rsid w:val="000521F1"/>
    <w:rsid w:val="000629A5"/>
    <w:rsid w:val="00095C44"/>
    <w:rsid w:val="000A155D"/>
    <w:rsid w:val="000B43AF"/>
    <w:rsid w:val="001031C5"/>
    <w:rsid w:val="00117DC1"/>
    <w:rsid w:val="00173744"/>
    <w:rsid w:val="001A41A0"/>
    <w:rsid w:val="001B5C50"/>
    <w:rsid w:val="001D1F31"/>
    <w:rsid w:val="002028E7"/>
    <w:rsid w:val="00230EC6"/>
    <w:rsid w:val="00270818"/>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2636D"/>
    <w:rsid w:val="00A369D5"/>
    <w:rsid w:val="00A46844"/>
    <w:rsid w:val="00A51F2D"/>
    <w:rsid w:val="00A56C8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o.int/occupational_health/publications/healthy_workplaces_model_a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2022-06-08T09:24:00Z</dcterms:created>
  <dcterms:modified xsi:type="dcterms:W3CDTF">2022-06-08T09:30:00Z</dcterms:modified>
</cp:coreProperties>
</file>